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41" w:rsidRDefault="00774FD0" w:rsidP="00E7004C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  <w:r w:rsidRPr="00BF2652"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Załącznik nr</w:t>
      </w:r>
      <w:r w:rsidR="00F96955"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 xml:space="preserve"> </w:t>
      </w:r>
      <w:r w:rsidR="00600BA0"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  <w:t>2</w:t>
      </w:r>
    </w:p>
    <w:p w:rsidR="008825C0" w:rsidRPr="00BF2652" w:rsidRDefault="008825C0" w:rsidP="00E7004C">
      <w:pPr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  <w:u w:val="single"/>
          <w:lang w:eastAsia="pl-PL"/>
        </w:rPr>
      </w:pPr>
    </w:p>
    <w:p w:rsidR="008825C0" w:rsidRDefault="008825C0" w:rsidP="008825C0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bookmarkStart w:id="0" w:name="_Hlk135389676"/>
      <w:r>
        <w:rPr>
          <w:rFonts w:asciiTheme="minorHAnsi" w:hAnsiTheme="minorHAnsi" w:cstheme="minorHAnsi"/>
          <w:b/>
          <w:i/>
        </w:rPr>
        <w:t xml:space="preserve">Dostawa  aparatury medycznej w ramach CKD 2 dla Centralnego Szpitala Klinicznego </w:t>
      </w:r>
      <w:r>
        <w:rPr>
          <w:rFonts w:asciiTheme="minorHAnsi" w:hAnsiTheme="minorHAnsi" w:cstheme="minorHAnsi"/>
          <w:b/>
          <w:i/>
        </w:rPr>
        <w:br/>
        <w:t>Uniwersytetu Medycznego w Łodzi</w:t>
      </w:r>
      <w:bookmarkEnd w:id="0"/>
      <w:r>
        <w:rPr>
          <w:rFonts w:asciiTheme="minorHAnsi" w:hAnsiTheme="minorHAnsi" w:cstheme="minorHAnsi"/>
          <w:b/>
          <w:i/>
        </w:rPr>
        <w:t xml:space="preserve"> – ZP/167/2024</w:t>
      </w:r>
    </w:p>
    <w:p w:rsidR="00FB0BD2" w:rsidRPr="00131112" w:rsidRDefault="00E06BFA" w:rsidP="00E7004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31112">
        <w:rPr>
          <w:rFonts w:asciiTheme="minorHAnsi" w:hAnsiTheme="minorHAnsi" w:cstheme="minorHAnsi"/>
          <w:sz w:val="24"/>
          <w:szCs w:val="24"/>
        </w:rPr>
        <w:t>Aparat do znieczuleń z monitorem</w:t>
      </w:r>
      <w:r w:rsidR="00BD6D80">
        <w:rPr>
          <w:rFonts w:asciiTheme="minorHAnsi" w:hAnsiTheme="minorHAnsi" w:cstheme="minorHAnsi"/>
          <w:sz w:val="24"/>
          <w:szCs w:val="24"/>
        </w:rPr>
        <w:t xml:space="preserve"> – 1 szt.</w:t>
      </w:r>
    </w:p>
    <w:p w:rsidR="00E06BFA" w:rsidRDefault="00E06BFA" w:rsidP="00E700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6BFA" w:rsidRPr="00BF2652" w:rsidRDefault="00E06BFA" w:rsidP="00E7004C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:rsidR="00FB0BD2" w:rsidRPr="00BF2652" w:rsidRDefault="00A33D41" w:rsidP="00FB1CFF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BF2652">
        <w:rPr>
          <w:rFonts w:asciiTheme="minorHAnsi" w:hAnsiTheme="minorHAnsi" w:cstheme="minorHAnsi"/>
          <w:b/>
          <w:sz w:val="20"/>
          <w:szCs w:val="20"/>
          <w:lang w:eastAsia="pl-PL"/>
        </w:rPr>
        <w:t>ZESTAWIENIE PARAMETRÓW TECHNICZNYCH</w:t>
      </w:r>
      <w:r w:rsidRPr="00BF2652">
        <w:rPr>
          <w:rFonts w:asciiTheme="minorHAnsi" w:hAnsiTheme="minorHAnsi" w:cstheme="minorHAnsi"/>
          <w:b/>
          <w:sz w:val="20"/>
          <w:szCs w:val="20"/>
          <w:lang w:eastAsia="pl-PL"/>
        </w:rPr>
        <w:br/>
      </w:r>
    </w:p>
    <w:p w:rsidR="00636E24" w:rsidRPr="00BF2652" w:rsidRDefault="00636E24" w:rsidP="00E7004C">
      <w:pPr>
        <w:tabs>
          <w:tab w:val="center" w:pos="7000"/>
        </w:tabs>
        <w:spacing w:after="0" w:line="360" w:lineRule="auto"/>
        <w:ind w:right="-419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1"/>
        <w:gridCol w:w="4257"/>
        <w:gridCol w:w="1470"/>
        <w:gridCol w:w="2784"/>
      </w:tblGrid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353" w:type="pct"/>
            <w:vAlign w:val="center"/>
          </w:tcPr>
          <w:p w:rsidR="00636E24" w:rsidRPr="00BD6D80" w:rsidRDefault="00636E24" w:rsidP="009450F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Parametry i warunki techniczne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Parametr wymagany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Parametry oferowane</w:t>
            </w:r>
          </w:p>
        </w:tc>
      </w:tr>
      <w:tr w:rsidR="001940E4" w:rsidRPr="00BD6D80" w:rsidTr="00AE51BE">
        <w:tc>
          <w:tcPr>
            <w:tcW w:w="304" w:type="pct"/>
            <w:vAlign w:val="center"/>
          </w:tcPr>
          <w:p w:rsidR="001940E4" w:rsidRPr="00BD6D80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2353" w:type="pct"/>
            <w:vAlign w:val="center"/>
          </w:tcPr>
          <w:p w:rsidR="001940E4" w:rsidRPr="00BD6D80" w:rsidRDefault="001940E4" w:rsidP="009450F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I. Wymagania Ogólne</w:t>
            </w:r>
          </w:p>
        </w:tc>
        <w:tc>
          <w:tcPr>
            <w:tcW w:w="803" w:type="pct"/>
            <w:vAlign w:val="center"/>
          </w:tcPr>
          <w:p w:rsidR="001940E4" w:rsidRPr="00BD6D80" w:rsidRDefault="001940E4" w:rsidP="001940E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1539" w:type="pct"/>
          </w:tcPr>
          <w:p w:rsidR="001940E4" w:rsidRPr="00BD6D80" w:rsidRDefault="001940E4" w:rsidP="001940E4">
            <w:pPr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53" w:type="pct"/>
            <w:vAlign w:val="center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Nazwa Urządzenia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53" w:type="pct"/>
            <w:vAlign w:val="center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Typ Urządzenia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53" w:type="pct"/>
            <w:vAlign w:val="center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Producent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353" w:type="pct"/>
            <w:vAlign w:val="center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Kraj pochodzenia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53" w:type="pct"/>
            <w:vAlign w:val="center"/>
          </w:tcPr>
          <w:p w:rsidR="00636E24" w:rsidRPr="00BD6D80" w:rsidRDefault="00D16026" w:rsidP="000754B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Rok produkcji </w:t>
            </w:r>
            <w:r w:rsidR="002808DE" w:rsidRPr="00BD6D80">
              <w:rPr>
                <w:rFonts w:asciiTheme="minorHAnsi" w:hAnsiTheme="minorHAnsi" w:cstheme="minorHAnsi"/>
              </w:rPr>
              <w:t>2024</w:t>
            </w:r>
            <w:r w:rsidR="00636E24" w:rsidRPr="00BD6D80">
              <w:rPr>
                <w:rFonts w:asciiTheme="minorHAnsi" w:hAnsiTheme="minorHAnsi" w:cstheme="minorHAnsi"/>
              </w:rPr>
              <w:t xml:space="preserve">, urządzenie fabrycznie nowe, nie </w:t>
            </w:r>
            <w:proofErr w:type="spellStart"/>
            <w:r w:rsidR="00636E24" w:rsidRPr="00BD6D80">
              <w:rPr>
                <w:rFonts w:asciiTheme="minorHAnsi" w:hAnsiTheme="minorHAnsi" w:cstheme="minorHAnsi"/>
              </w:rPr>
              <w:t>rekondycjonowane</w:t>
            </w:r>
            <w:proofErr w:type="spellEnd"/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53" w:type="pct"/>
            <w:vAlign w:val="center"/>
          </w:tcPr>
          <w:p w:rsidR="00636E24" w:rsidRPr="00BD6D80" w:rsidRDefault="0087150F" w:rsidP="0087150F">
            <w:pPr>
              <w:pStyle w:val="Nagwek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Aktualne dokumenty potwierdzające, że zaoferowany przez wykonawcę sprzęt jest dopuszczony do użytku na terenie Rzeczypospolitej Polskiej i Unii Europejskiej zgodnie z obowiązującymi przepisami  prawa (deklaracja zgodności i oznakowanie znakiem CE), tzn. ,że oferowany sprzęt posiada wymogi określone w Ustawie z dnia 07.04.2022 r. o wyrobach medycznych (DZ.U 2022 poz. 974) oraz dyrektywami Unii Europejskiej  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53" w:type="pct"/>
            <w:vAlign w:val="center"/>
          </w:tcPr>
          <w:p w:rsidR="00960E2D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Klasyfikacja zgodna z normą IEC/EN 60601-1, ochrona przed porażeniem prądem</w:t>
            </w:r>
            <w:r w:rsidR="00960E2D" w:rsidRPr="00BD6D80">
              <w:rPr>
                <w:rFonts w:asciiTheme="minorHAnsi" w:hAnsiTheme="minorHAnsi" w:cstheme="minorHAnsi"/>
              </w:rPr>
              <w:t xml:space="preserve"> lub równoważna</w:t>
            </w:r>
          </w:p>
        </w:tc>
        <w:tc>
          <w:tcPr>
            <w:tcW w:w="803" w:type="pct"/>
            <w:vAlign w:val="center"/>
          </w:tcPr>
          <w:p w:rsidR="00636E24" w:rsidRPr="00BD6D80" w:rsidRDefault="00FB0BD2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  <w:vAlign w:val="bottom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53" w:type="pct"/>
            <w:vAlign w:val="center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 Ochrona przed wilgocią </w:t>
            </w:r>
          </w:p>
        </w:tc>
        <w:tc>
          <w:tcPr>
            <w:tcW w:w="803" w:type="pct"/>
            <w:vAlign w:val="center"/>
          </w:tcPr>
          <w:p w:rsidR="00636E24" w:rsidRPr="00BD6D80" w:rsidRDefault="00A05999" w:rsidP="00636E24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1539" w:type="pct"/>
            <w:vAlign w:val="bottom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636E24" w:rsidRPr="00BD6D80" w:rsidTr="00AE51BE">
        <w:tc>
          <w:tcPr>
            <w:tcW w:w="304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  <w:vAlign w:val="center"/>
          </w:tcPr>
          <w:p w:rsidR="00636E24" w:rsidRPr="00BD6D80" w:rsidRDefault="00FB0BD2" w:rsidP="00636E24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II. Parametry techniczne urządzenia</w:t>
            </w:r>
          </w:p>
        </w:tc>
        <w:tc>
          <w:tcPr>
            <w:tcW w:w="803" w:type="pct"/>
            <w:vAlign w:val="center"/>
          </w:tcPr>
          <w:p w:rsidR="00636E24" w:rsidRPr="00BD6D80" w:rsidRDefault="00636E24" w:rsidP="00636E2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  <w:vAlign w:val="bottom"/>
          </w:tcPr>
          <w:p w:rsidR="00636E24" w:rsidRPr="00BD6D80" w:rsidRDefault="00636E24" w:rsidP="00636E24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Aparat do znieczulenia ogólnego dla dzieci i dorosłych  </w:t>
            </w:r>
          </w:p>
        </w:tc>
        <w:tc>
          <w:tcPr>
            <w:tcW w:w="803" w:type="pct"/>
          </w:tcPr>
          <w:p w:rsidR="00A05999" w:rsidRPr="00BD6D80" w:rsidRDefault="00A05999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Aparat do znieczulania ogólnego jezdny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Zasilanie dostosowane do 230 V 50 </w:t>
            </w:r>
            <w:proofErr w:type="spellStart"/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Hz</w:t>
            </w:r>
            <w:proofErr w:type="spellEnd"/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,</w:t>
            </w:r>
          </w:p>
          <w:p w:rsidR="00E06BFA" w:rsidRPr="00BD6D80" w:rsidRDefault="00E06BFA" w:rsidP="00E06BF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wbudowane fabrycznie gniazda elektryczne 230 V (minimum 3 gniazda)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Indywidualne, automatyczne bezpieczniki gniazd elektrycznych. Transformator separacyjny.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Wyposażony w blat do pisania i minimum dwie szuflady na akcesoria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Kółka jezdne ( z hamulcem minimum dwóch kół)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Wbudowane oświetlenie blatu typu LED z regulacją natężenia światła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Zasilanie gazowe (N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O, O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, powietrze) z sieci centralnej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Awaryjne zasilanie gazowego z 10 l butli (O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 i N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O)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Prezentacja ciśnień gazów zasilających (z sieci centralnej i z butli) na ekranie respiratora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  <w:vAlign w:val="bottom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Precyzyjne przepływomierze dla tlenu, podtlenku azotu i powietrza, wyświetlanie przepływów gazów na ekranie wentylatora aparatu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Przepływomierze umożliwiające podaż gazów w systemie anestezji z niskimi przepływami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Wbudowany przepływomierz tlenowy niezależny od układu okrężnego do stosowania podczas znieczuleń przewodowych z regulowanym przepływem O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 minimum do 10 l/min.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System automatycznego utrzymywania stężenia tlenu w mieszaninie z podtlenkiem azotu na poziomie min. 25%. Automatyczne odcięcie podtlenku azotu przy braku zasilania w tlen.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Układ oddechowy: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Kompaktowy układ oddechowy okrężny do wentylacji dorosłych i dzieci o niskiej podatności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Układ oddechowy o prostej budowie, łatwy do wymiany i sterylizacji pozbawiony lateksu o całkowitej pojemności nie większej niż 3,5 L. wraz z pojemnikiem absorbera CO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 i bypassem CO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 xml:space="preserve">2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Przystosowany do prowadzenia znieczulenia w systemach półotwartym i półzamkniętym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Obejście tlenowe o dużej wydajności od min.25 l /min do 75l/min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Wielorazowy pochłaniacz dwutlenku węgla o obudowie przeziernej i pojemności max. do1,5 l. </w:t>
            </w:r>
          </w:p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Możliwość stosowania zamiennego pochłaniaczy wielorazowych i jednorazowych podczas znieczulenia bez rozszczelnienia układu i stosowania narzędzi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Eliminacja gazów poanestetycznych poza salę operacyjną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E06BFA">
        <w:tc>
          <w:tcPr>
            <w:tcW w:w="5000" w:type="pct"/>
            <w:gridSpan w:val="4"/>
            <w:vAlign w:val="center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Respirator anestetyczny</w:t>
            </w: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Tryby wentylacji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Możliwość prowadzenia wentylacji ręcznej natychmiast po przełączeniu z wentylacji mechanicznej przy pomocy dźwigni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Tryb wentylacji ciśnieniowo zmienny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Tryb wentylacji objętościowo zmienny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Tryb wentylacji SIMV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Tryb wentylacji ciśnieniowo zmienny z gwarantowaną objętością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Zakres PEEP min. od 4 do 25 cm H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O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Regulacje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Regulacja stosunku wdechu do wydechu </w:t>
            </w:r>
          </w:p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– minimum 2: 1 do 1: 4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Regulacja częstości oddechu minimum od 4 do 100 /min. wentylacja objętościowa i ciśnieniowa 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Zakres objętości oddechowej minimum od 20 do 1500 ml - wentylacja objętościowa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Zakres objętości oddechowej minimum od 5 do 1500 ml - wentylacja ciśnieniowa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Regulacja ciśnienia wdechu przy PCV minimum: od 5 do 60 cm H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O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Regulowana pauza wdechowa w zakresie minimum 5-60 %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Alarmy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Alarm niskiej pojemności minutowej MV i objętości oddechowej TV z regulowanymi progami </w:t>
            </w:r>
          </w:p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(górnym i dolnym).</w:t>
            </w:r>
          </w:p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Możliwość czasowego zawieszenia alarmu TV np. podczas indukcji znieczulenia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Alarm minimalnego i maksymalnego ciśnienia wdechowego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Alarm braku zasilania w energię elektryczną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Alarm braku zasilania w gazy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Alarm Apnea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POMIAR I OBRAZOWANIE: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38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Stężenie tlenu w gazach oddechowych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Pomiar objętości oddechowej TV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Pomiar pojemności minutowej MV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Pomiar częstości oddechowej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Pomiar ciśnienia szczytowego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rPr>
          <w:trHeight w:val="466"/>
        </w:trPr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Pomiar ciśnienia średniego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Ciśnienia PEEP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Częstość oddychania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Manometr pomiaru </w:t>
            </w:r>
            <w:r w:rsidR="00131112" w:rsidRPr="00BD6D80">
              <w:rPr>
                <w:rFonts w:asciiTheme="minorHAnsi" w:eastAsia="Times New Roman" w:hAnsiTheme="minorHAnsi" w:cstheme="minorHAnsi"/>
                <w:lang w:eastAsia="pl-PL"/>
              </w:rPr>
              <w:t>ciśnienia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 w drogach oddechowych wyświetlany na ekranie wentylatora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Pomiar stężenia wdechowego i wydechowego tlenu w gazach oddechowych w aparacie do znieczulania metoda paramagnetyczna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Pomiar stężenia gazów i środków anestetycznych dla mieszaniny wdechowej i wydechowej dla: podtlenku azotu, sevofluranu, desfluranu, izofluranu w aparacie do znieczulania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Automatyczna identyfikacja anestetyku wziewnego i pomiar MAC w aparacie do znieczulania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Prezentacja graficzna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Ekran kolorowy do prezentacji parametrów  wentylacji i krzywych o przekątnej minimum 15”. Rozdzielczość minimum 1024x768 pikseli.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Ekran niewbudowany umieszczony na wysięgniku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Sterowanie poprzez pokrętło, przyciski i ekran dotykowy dla zwiększenia bezpieczeństwa pracy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Możliwość konfigurowania minimum trzech stron ekranu wentylatora i ich zapisania na stałe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Prezentacja prężności dwutlenku węgla - CO</w:t>
            </w:r>
            <w:r w:rsidRPr="00BD6D80">
              <w:rPr>
                <w:rFonts w:asciiTheme="minorHAnsi" w:eastAsia="Times New Roman" w:hAnsiTheme="minorHAnsi" w:cstheme="minorHAnsi"/>
                <w:vertAlign w:val="subscript"/>
                <w:lang w:eastAsia="pl-PL"/>
              </w:rPr>
              <w:t>2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 w strumieniu wdechowym i wydechowym w aparacie do znieczulenia wraz z krzywą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Obrazowanie krzywej koncentracji anestetyku wziewnego w aparacie do znieczulenia na wdechu i wydechu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Obrazowanie krzywej ciśnienia w drogach oddechowych w aparacie do znieczulenia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Obrazowanie krzywej przepływu w drogach oddechowych w aparacie do znieczulenia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PAROWNIKI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2353" w:type="pct"/>
          </w:tcPr>
          <w:p w:rsidR="004D7CAD" w:rsidRPr="00BD6D80" w:rsidRDefault="004D7CAD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P</w:t>
            </w:r>
            <w:r w:rsidR="00E06BFA"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arowników do </w:t>
            </w: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gazów anestezjologicznych w ilości: </w:t>
            </w:r>
          </w:p>
          <w:p w:rsidR="004D7CAD" w:rsidRPr="00BD6D80" w:rsidRDefault="004D7CAD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1 szt. Sevofluranu </w:t>
            </w:r>
          </w:p>
          <w:p w:rsidR="00E06BFA" w:rsidRPr="00BD6D80" w:rsidRDefault="004D7CAD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1 szt. D</w:t>
            </w:r>
            <w:r w:rsidR="00E06BFA"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esfluranu. </w:t>
            </w:r>
          </w:p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Uchwyt do dwóch parowników mocowanych jednocześnie.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59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Wbudowany ssak injectorowy do podłączenia do pojemników 1,0 l z wymiennymi wkładami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lang w:eastAsia="pl-PL"/>
              </w:rPr>
              <w:t>Inne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Komunikacja z aparatem w języku polskim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Instrukcja obsługi w języku polskim z dostawą 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 xml:space="preserve">Moduł gazowy kompatybilny z posiadanymi przez Zamawiającego aparatami do znieczulenia GE </w:t>
            </w:r>
            <w:proofErr w:type="spellStart"/>
            <w:r w:rsidRPr="00BD6D80">
              <w:rPr>
                <w:rFonts w:asciiTheme="minorHAnsi" w:eastAsia="Times New Roman" w:hAnsiTheme="minorHAnsi" w:cstheme="minorHAnsi"/>
                <w:lang w:eastAsia="pl-PL"/>
              </w:rPr>
              <w:t>Carestation</w:t>
            </w:r>
            <w:proofErr w:type="spellEnd"/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E06BFA">
        <w:tc>
          <w:tcPr>
            <w:tcW w:w="5000" w:type="pct"/>
            <w:gridSpan w:val="4"/>
            <w:vAlign w:val="center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Monitor pacjenta do aparatu do znieczulania</w:t>
            </w: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Możliwość integracji z dostępnym klinicznym systemem informatycznym (CIS) producenta oferowanego systemu monitorowania pacjenta, w polskiej wersji językowej, umożliwiającym prowadzenie elektronicznej dokumentacji medycznej i jej ciągłość w zakresie opieki około-intensywnej i około-operacyjnej, zapewniającym przynajmniej: automatyczną akwizycję parametrów życiowych z oferowanych monitorów, ale także: respiratorów, aparatów do znieczulania, pomp infuzyjnych i do terapii nerkozastępczej; dokumentację terapii płynowej i lekowej, obliczanie bilansu płynów, ocenę stanu pacjenta wg. znanych </w:t>
            </w:r>
            <w:proofErr w:type="spellStart"/>
            <w:r w:rsidRPr="00BD6D80">
              <w:rPr>
                <w:rFonts w:asciiTheme="minorHAnsi" w:eastAsia="Times New Roman" w:hAnsiTheme="minorHAnsi" w:cstheme="minorHAnsi"/>
                <w:color w:val="000000"/>
              </w:rPr>
              <w:t>skal</w:t>
            </w:r>
            <w:proofErr w:type="spellEnd"/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 ocen (m.in.: APACHE II, GCS, TISS-28, SOFA), tworzenie zleceń lekarskich, dokumentację procesu opieki pielęgniarskiej, generowanie raportów (w tym karta znieczulenia).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System monitorowania pacjenta o budowie modułowej lub kompaktowo-modułowej, w technologii wymiennych modułów podłączanych podczas pracy przez użytkownika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zapewnia monitorowanie pacjenta stacjonarnie i w transporcie: pojedynczy monitor stacjonarno-transportowy lub monitor stacjonarny wyposażony w niewielkich rozmiarów moduł transportowy z ekranem</w:t>
            </w:r>
          </w:p>
        </w:tc>
        <w:tc>
          <w:tcPr>
            <w:tcW w:w="803" w:type="pct"/>
          </w:tcPr>
          <w:p w:rsidR="00E06BFA" w:rsidRPr="00BD6D80" w:rsidRDefault="00131112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we wbudowaną ramę na min. 1 moduł rozszerzeń. Możliwość rozbudowy monitora o dodatkową ramę do podłączenia min. 2 dodatkowych modułów rozszerzeń.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Wszystkie elementy systemu monitorowania pacjenta chłodzone konwekcyjnie, pasywnie - bez użycia wentylatorów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Komunikacja z użytkownikiem w języku polskim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 tryb "Standby" - tymczasowe wstrzymanie monitorowania pacjenta oraz sygnalizowania alarmów, np. na czas toalety pacjenta lub badania diagnostycznego. Po wznowieniu monitorowania następuje kontynuacja monitorowania tego samego pacjenta bez utraty zapisanych danych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 tryb nocny: uruchamiany ręcznie lub automatycznie. Przełączenie w tryb nocny zapewnia min. obniżenie jasności ekranu oraz poziomu głośności alarmów.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Dostęp na ekranie monitora d</w:t>
            </w:r>
            <w:r w:rsidR="00F9617C" w:rsidRPr="00BD6D80">
              <w:rPr>
                <w:rFonts w:asciiTheme="minorHAnsi" w:eastAsia="Times New Roman" w:hAnsiTheme="minorHAnsi" w:cstheme="minorHAnsi"/>
                <w:color w:val="000000"/>
              </w:rPr>
              <w:t>o kompletu dokumentacji: instru</w:t>
            </w: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k</w:t>
            </w:r>
            <w:r w:rsidR="00F9617C" w:rsidRPr="00BD6D80">
              <w:rPr>
                <w:rFonts w:asciiTheme="minorHAnsi" w:eastAsia="Times New Roman" w:hAnsiTheme="minorHAnsi" w:cstheme="minorHAnsi"/>
                <w:color w:val="000000"/>
              </w:rPr>
              <w:t>c</w:t>
            </w: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ji obsługi wraz z dodatkami, instrukcji technicznej, opisu interfejsu HL7 oraz kompletnej listy akcesoriów i materiałów zużywalnych. Nawigacja po instrukcji przy użyciu hiperłączy ułatwiających przełączanie pomiędzy dokumentami i rozdziałami.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Zasilanie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Zasilanie sieciowe, zgodne z PN, dostosowane do 230V/50Hz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 zasilanie akumulatorowe zapewniające przynajmniej 240 minut pracy na wypadek zaniku zasilania lub transportu. W czasie pracy na baterii parametry są wyświetlane na dużym ekranie monitora stacjonarno-transportowego lub stacjonarnego – dopuszcza się realizację tej funkcjonalności przy pomocy zewnętrznego zasilacza UPS klasy medycznej montowanego na stanowisku. W przypadku zewnętrznego zasilacza w ofercie ujęty uchwyt do montażu zasilacza na stanowisku pacjenta.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pracy w sieci centralnego monitorowania, zgodnej ze standardem Ethernet.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Monitory umożliwiają wykorzystanie jednej fizycznej infrastruktury teleinformatycznej, w sieci przewodowej i bezprzewodowej, do celu sieci centralnego monitorowania oraz innych aplikacji szpitalnych, w sposób zapewniający bezpieczeństwo i priorytet przesyłania wrażliwych danych medycznych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Monitory gotowe do współpracy z centralą monitorującą, która umożliwia zdalny nadzór nad oferowanymi monitorami, a także w pełni modułowymi monitorami wysokiej klasy tego samego producenta. Nadzór oznacza podgląd bieżących wartości parametrów, krzywych i stanów alarmowych, możliwość wyciszania alarmów i zmiany granic alarmowych, możliwość retrospektywnej analizy danych (trendów i full disclosure)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Monitory wyposażone w funkcję wysyłania parametrów życiowych monitorowanych pacjentów do zewnętrznych systemów, za pośrednictwem protokołu HL7. Funkcja realizowana </w:t>
            </w:r>
            <w:r w:rsidR="00F9617C" w:rsidRPr="00BD6D80">
              <w:rPr>
                <w:rFonts w:asciiTheme="minorHAnsi" w:eastAsia="Times New Roman" w:hAnsiTheme="minorHAnsi" w:cstheme="minorHAnsi"/>
                <w:color w:val="000000"/>
              </w:rPr>
              <w:t>bezpośrednio</w:t>
            </w: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 przez kardiomonitory lub dedykowany serwer komunikacyjny - ujęty w ofercie.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Monitory umożliwiają zdalny podgląd ekranu innego kardiomonitora pracującego w sieci centralnego monitorowania. Funkcjonalność zależy wyłącznie od funkcjonowania sieci monitorowania i nie wymaga obecności dedykowanych komputerów, serwerów, centrali monitorującej, itp.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Monitory umożliwiają wyświetlanie informacji o alarmach występujących na pozostałych kardiomonitorach pracujących w sieci centralnego monitorowania. Możliwość konfiguracji stanowisk, pomiędzy którymi mają być wymieniane informacje o alarmach.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Monitory zapewniają automatyczne otwarcie ekranu zdalnego monitora w momencie wystąpienia zdarzenia alarmowego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drukowania krzywych, raportów, na podłączonej do sieci centralnego monitorowania tradycyjnej drukarce laserowej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Sposób montażu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ofercie do każdego monitora uchwyt montażowy do aparatu do znieczulania.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Wymogi funkcjonalne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stacjonarny lub stacjonarno-transportowy wyposażony w dotykowy ekran panoramiczny o przekątnej min. 12,1" i rozdzielczości min. 1280 x 800 pikseli.  Umożliwia wyświetlanie przynajmniej 12 krzywych dynamicznych jednocześnie i pełną obsługę funkcji monitorowania pacjenta. Nie dopuszcza się realizacji tej funkcjonalności z wykorzystaniem zewnętrznego, dodatkowego ekranu lub innych rozwiązań zależnych od funkcjonowania sieci informatycznej. Rozmiar ekranu dostępny w czasie monitorowania transportowego min. 6,2".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podłączenia dodatkowego ekranu powielającego o przekątnej min. 19”. Ekran podłączany z wykorzystaniem złącza cyfrowego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Obsługa kardiomonitora poprzez ekran dotykowy i pokrętło. 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zaprogramowania min. 7 różnych konfiguracji (profili) monitora, zawierających m.in. ustawienia monitorowanych parametrów oraz widoki ekranów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wyboru spośród przynajmniej 16 różnych układów (widoków) ekranu, z możliwością edycji i zapisu przynajmniej 6 z nich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Dostępny tzw. ekran dużych liczb z możliwością podziału na 4 oraz 6 okien parametrów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stacjonarno-transportowy lub moduł transportowy przystosowany do warunków transportowych, odporny na upadek z wysokości przynajmniej 0,25m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stacjonarno-transportowy lub moduł transportowy przystosowany do warunków transportowych, klasa odporności na zachlapanie wodą nie gorsza niż IPX2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stacjonarno-transportowy lub monitor stacjonarny odporny przeciwko zachlapaniu i wnikaniu ciał stałych. Klasa odporności nie gorsza niż IP22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Masa monitora stacjonarno-transportowego lub modułu transportowego wraz z wbudowanym ekranem oraz akumulatorem nie przekracza 4,5 kg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stacjonarno-transportowy lub moduł transportowy umożliwia kontynuację monitorowania w czasie transportu przynajmniej następujących parametrów (zgodnie z ich wymogami opisanymi w dalszej części specyfikacji): EKG, SpO2, NIBP, 2x Temp., 2x IBP, z możliwością rozbudowy o pomiar CO2 w strumieniu bocznym, w zależności od podłączonych modułów pomiarowych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Monitorowane parametry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EKG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Monitorowanie przynajmniej 1 z 3, 7 i 12 </w:t>
            </w:r>
            <w:r w:rsidR="00AE1FDA" w:rsidRPr="00BD6D80">
              <w:rPr>
                <w:rFonts w:asciiTheme="minorHAnsi" w:eastAsia="Times New Roman" w:hAnsiTheme="minorHAnsi" w:cstheme="minorHAnsi"/>
                <w:color w:val="000000"/>
              </w:rPr>
              <w:t>odprowadzeni</w:t>
            </w: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, z jakością diagnostyczną, w zależności od użytego przewodu EKG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Jednoczesna prezentacja przynajmniej 3 kanałów EKG na ekranie głównym kardiomonitora: 3 różne odprowadzenia lub 1 odprowadzenie w formie kaskady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częstości akcji serca w zakresie min. 30 - 300 ud/min.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komplecie do każdego monitora: przewód do podłączenia 5- elektrod dla dorosłych i dzieci. Długość przewodów przynajmniej 3m.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Analiza arytmii</w:t>
            </w:r>
          </w:p>
        </w:tc>
        <w:tc>
          <w:tcPr>
            <w:tcW w:w="803" w:type="pct"/>
          </w:tcPr>
          <w:p w:rsidR="00E06BFA" w:rsidRPr="00BD6D80" w:rsidRDefault="00F9617C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Analiza arytmii w min. 2 odprowadzeniach EKG jednocześnie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Analiza arytmii w przynajmniej 4 odprowadzeniach EKG jednocześnie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Zaawansowana analiza arytmii wg przynajmniej 12 definicji z rozpoznawaniem arytmii komorowych i przedsionkowych, w tym migotania przedsionków. Dopuszcza się realizację tej funkcjonalności przez zewnętrzny aparat EKG z trybem pomiaru ciągłego - w takiej sytuacji należy zaoferować 1 szt. takiego aparatu na każdy oferowany kardiomonitor.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Analiza ST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Analiza odcinka ST w min. 7 odprowadzeniach jednocześnie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Zakres pomiarowy analizy odcinka ST min. -9,0 -(+) 9,0 mm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Oddech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109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Pomiar częstości oddechu metodą impedancyjną w zakresie min. 4-120 </w:t>
            </w:r>
            <w:proofErr w:type="spellStart"/>
            <w:r w:rsidRPr="00BD6D80">
              <w:rPr>
                <w:rFonts w:asciiTheme="minorHAnsi" w:eastAsia="Times New Roman" w:hAnsiTheme="minorHAnsi" w:cstheme="minorHAnsi"/>
                <w:color w:val="000000"/>
              </w:rPr>
              <w:t>odd</w:t>
            </w:r>
            <w:proofErr w:type="spellEnd"/>
            <w:r w:rsidRPr="00BD6D80">
              <w:rPr>
                <w:rFonts w:asciiTheme="minorHAnsi" w:eastAsia="Times New Roman" w:hAnsiTheme="minorHAnsi" w:cstheme="minorHAnsi"/>
                <w:color w:val="000000"/>
              </w:rPr>
              <w:t>/min.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Prezentacja częstości oddechu oraz krzywej oddechowej 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Saturacja (SpO2)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wysycenia hemoglobiny tlenem, z wykorzystaniem algorytmu odpornego na niską perfuzję i artefakty ruchowe: TruSignal lub Masimo rainbow SET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saturacji w zakresie min. 70-100%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Prezentacja wartości saturacji, krzywej pletyzmograficznej i wskaźnika perfuzji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wyboru SPO2 jako źródła częstości rytmu serca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Modulacja dźwięku tętna przy zmianie wartości % SpO2.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komplecie do każdego monitora: przewód podłączeniowy dł. min. 3m oraz wielorazowy, elastyczny czujnik na palec dla dorosłych. Oryginalne akcesoria pomiarowe producenta algorytmu pomiarowego.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ciśnienia metodą nieinwazyjną (NIBP)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119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Algorytm pomiarowy wykorzystuje dwutubowy systemem wężyków i mankietów, skokową deflację, odporny na zakłócenia, artefakty i niemiarową akcję serca, skraca czas pomiarów przez wstępne pompowanie mankietu do wartości bezpośrednio powyżej ostatnio zmierzonej wartości ciśnienia skurczowego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ciśnienia tętniczego metodą oscylometryczną.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ręczny na żądanie, ciągły przez określony czas oraz automatyczny. Zakres przedziałów czasowych w trybie automatycznym przynajmniej 1 - 120 minut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zaprogramowania własnych cykli pomiarowych NIBP, składających się z min. 4 kroków zawierających od 1 do 25 powtórzeń w wybranym odstępie czasu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ciśnienia w zakresie przynajmniej od 10 mmHg dla ciśnienia rozkurczowego do 250 mmHg dla ciśnienia skurczowego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Prezentacja wartości: skurczowej, rozkurczowej oraz średniej. Możliwość wyświetlania listy ostatnich wyników pomiarów NIBP na ekranie głównym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komplecie do każdego monitora: wężyk z szybkozłączką dla dorosłych/dzieci oraz 3 mankiety wielorazowe dla dorosłych (w 3 różnych rozmiarach). Dodatkowo na całą instalację 20 szt. mankietów dla pacjentów otyłych.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Mankiety dla pacjentów otyłych stożkowe, dedykowane i walidowane do pomiaru na przedramieniu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Temperatura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temperatury w 2 kanałach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129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Jednoczesna prezentacja w polu parametru temperatury na ekranie głównym monitora stacjonarnego min. 2 wartości temperatury jednocześnie: obu zmierzonych lub jednej zmierzonej i różnicy temperatur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ustawienia etykiet temperatur wg. miejsca pomiaru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komplecie do każdego monitora: wielorazowy czujnik temperatury skóry dla dorosłych..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ciśnienia metodą inwazyjną (IBP)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ciśnienia metodą inwazyjną w 2 kanałach. Możliwość rozbudowy do przynajmniej 3 kanałów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ciśnienia w zakresie przynajmniej -20 do 320 mmHg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parametru PPV: automatyczny lub ręczny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Ciągły, automatyczny pomiar parametrów PPV i SPV na wybranym kanale ciśnienia. Prezentacja wyników pomiarów na ekranie głównym. Parametry zapisywane w trendach.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komplecie do każdego monitora przewody do podłączenia przetworników np. Edwards (po jednym na każdy oferowany kanał)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139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zwiotczenia mięśni (NMT)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zwiotczenia mięśni przez monitorowanie transmisji nerwowo-mięśniowej NMT z wykorzystaniem mechanosensora lub akcelerometru 3D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Dostępne tryby stymulacji min.: ST, DBS, TET, </w:t>
            </w:r>
            <w:proofErr w:type="spellStart"/>
            <w:r w:rsidRPr="00BD6D80">
              <w:rPr>
                <w:rFonts w:asciiTheme="minorHAnsi" w:eastAsia="Times New Roman" w:hAnsiTheme="minorHAnsi" w:cstheme="minorHAnsi"/>
                <w:color w:val="000000"/>
              </w:rPr>
              <w:t>ToF</w:t>
            </w:r>
            <w:proofErr w:type="spellEnd"/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 lub z wykorzystaniem zewnętrznego urządzenia zapewniającego prezentację wartości mierzonych parametrów na ekranie oferowanego kardiomonitora.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komplecie do każdego monitora: przewód i czujnik oraz min. 30 elektrod do stymulacji. W przypadku urządzenia zewnętrznego w komplecie: 2-przegubowy uchwyt montażowy zapewniający bezpieczne mocowanie na stanowisku pacjenta oraz zestaw przewodów do podłączenia urządzenia do kardiomonitora.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Możliwości rozbudowy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rozbudowy o monitorowanie gazowe w strumieniu bocznym, min.: CO2, O2, N2O i anestetyków z automatyczą identyfikacją środka znieczulającego oraz prezentacją MAC / MACage. Pomiary możliwe u pacjentów zaintubowanych i niezaintubowanych.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Możliwość zamiennego stosowania modułu pomiarowego pomiędzy różnymi monitorami i aparatami do znieczulania tego samego producenta.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rozbudowy o pomiar rzutu minutowego serca z wykorzystaniem cewnika Swana-Ganza.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rozbudowy o pomiar głębokości uśpienia. Pomiar realizowany przez analizę sygnału EEG, wspomaganego pomiarem elektromiografii mięśni czoła, z obliczaniem parametrów SE, RE i BSR.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Alarmy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148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zmiany priorytetu alarmów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149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Alarmy techniczne z podaniem przyczyny.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Granice alarmowe regulowane ręcznie - przez użytkownika, i automatycznie (na żądanie) - na podstawie bieżących wartości parametrów.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151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wyciszenia alarmów. Czas wyciszenia alarmów przynajmniej: 2 minuty oraz bez limitu czasowego.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152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 pamięć przynajmniej 100 zdarzeń alarmowych zawierających wycinki krzywych dynamicznych. Zdarzenia zapisywane automatycznie - w chwili wystąpienia zdarzenia alarmowego, a także ręcznie - po naciśnięciu odpowiedniego przycisku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Analiza danych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153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Stanowisko monitorowania pacjenta wyposażone w pamięć trendów z ostatnich min. 96 godzin.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154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 pamięć przynajmniej 168 godzin trendów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155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Możliwość wyświetlania trendów w formie graficznej i tabelarycznej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156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Monitor wyposażony w funkcję wczesnego ostrzegania wg skali NEWS oraz funkcję OxyCRG oraz wbudowaną pamięć pełnych przebiegów dynamicznych Full Disclosure z min. 72 godzin dla przynajmniej: wszystkich przebiegów EKG, SpO2, Oddechu i 2x IBP.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 /Podać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157</w:t>
            </w:r>
          </w:p>
        </w:tc>
        <w:tc>
          <w:tcPr>
            <w:tcW w:w="2353" w:type="pct"/>
            <w:vAlign w:val="center"/>
          </w:tcPr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Monitor wyposażony w port USB do przenoszenia konfiguracji oraz trendów. Funkcja eksportu trendów zabezpieczona hasłem, trendy eksportowane w formie zanonimizowanej, zaszyfrowanej </w:t>
            </w:r>
          </w:p>
          <w:p w:rsidR="00E06BFA" w:rsidRPr="00BD6D80" w:rsidRDefault="00E06BFA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w formacie umożliwiającym odczyt z wykorzystaniem pakietu MS Excel.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vAlign w:val="center"/>
          </w:tcPr>
          <w:p w:rsidR="00E06BFA" w:rsidRPr="00BD6D80" w:rsidRDefault="001705A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158</w:t>
            </w:r>
          </w:p>
        </w:tc>
        <w:tc>
          <w:tcPr>
            <w:tcW w:w="2353" w:type="pct"/>
            <w:vAlign w:val="center"/>
          </w:tcPr>
          <w:p w:rsidR="00E06BFA" w:rsidRPr="00BD6D80" w:rsidRDefault="00BD6D80" w:rsidP="00E06BF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Kompatybilność akcesoriów z </w:t>
            </w:r>
            <w:r w:rsidR="00E06BFA"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posiadanym przez </w:t>
            </w: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Zamawiającego</w:t>
            </w:r>
            <w:r w:rsidR="00E06BFA"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BD6D80">
              <w:rPr>
                <w:rFonts w:asciiTheme="minorHAnsi" w:eastAsia="Times New Roman" w:hAnsiTheme="minorHAnsi" w:cstheme="minorHAnsi"/>
                <w:color w:val="000000"/>
              </w:rPr>
              <w:t>systemem</w:t>
            </w:r>
            <w:r w:rsidR="00E06BFA" w:rsidRPr="00BD6D80">
              <w:rPr>
                <w:rFonts w:asciiTheme="minorHAnsi" w:eastAsia="Times New Roman" w:hAnsiTheme="minorHAnsi" w:cstheme="minorHAnsi"/>
                <w:color w:val="000000"/>
              </w:rPr>
              <w:t xml:space="preserve"> Carescape/s5</w:t>
            </w:r>
          </w:p>
        </w:tc>
        <w:tc>
          <w:tcPr>
            <w:tcW w:w="803" w:type="pct"/>
          </w:tcPr>
          <w:p w:rsidR="00E06BFA" w:rsidRPr="00BD6D80" w:rsidRDefault="00BD6D80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5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6D80">
              <w:rPr>
                <w:rFonts w:asciiTheme="minorHAnsi" w:hAnsiTheme="minorHAnsi" w:cstheme="minorHAnsi"/>
                <w:b/>
                <w:bCs/>
              </w:rPr>
              <w:t>III. Informacje dodatkowe - warunki gwarancji i serwisu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 xml:space="preserve">Okres gwarancji w miesiącach (wymagany min. 24 m-ce) </w:t>
            </w:r>
            <w:r w:rsidRPr="00BD6D80">
              <w:rPr>
                <w:rFonts w:asciiTheme="minorHAnsi" w:hAnsiTheme="minorHAnsi" w:cstheme="minorHAnsi"/>
              </w:rPr>
              <w:br/>
              <w:t>Wyklucza się możliwość oferowania ubezpieczenia lub kontraktu serwisowego.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Czas podjęcia naprawy przez serwis max 48h od momentu zgłoszenia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Instrukcja w języku polskim, w formie wydrukowanej i wersji elektronicznej na płycie CD lub PenDrive.</w:t>
            </w:r>
          </w:p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lang w:eastAsia="pl-PL"/>
              </w:rPr>
            </w:pPr>
            <w:r w:rsidRPr="00BD6D80">
              <w:rPr>
                <w:rFonts w:asciiTheme="minorHAnsi" w:hAnsiTheme="minorHAnsi" w:cstheme="minorHAnsi"/>
                <w:i/>
                <w:iCs/>
              </w:rPr>
              <w:t>Dostarczyć wraz z dostawa przedmiotu zamówienia.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  <w:lang w:eastAsia="pl-PL"/>
              </w:rPr>
              <w:t>Bezpłatne przeglądy w okresie gwarancji.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ind w:left="708" w:hanging="708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 </w:t>
            </w: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Bezpłatne szkolenie personelu medycznego w zakresie obsługi aparatu przeprowadzone w siedzibie Zamawiającego.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Tak, podać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eastAsia="pl-PL"/>
              </w:rPr>
            </w:pPr>
            <w:r w:rsidRPr="00BD6D80">
              <w:rPr>
                <w:rFonts w:asciiTheme="minorHAnsi" w:hAnsiTheme="minorHAnsi" w:cstheme="minorHAnsi"/>
              </w:rPr>
              <w:t>Liczba napraw uprawniających do wymiany urządzenia na nowe (3 naprawy tego samego modułu)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53" w:type="pct"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Serwis na terenie Polski</w:t>
            </w:r>
          </w:p>
        </w:tc>
        <w:tc>
          <w:tcPr>
            <w:tcW w:w="803" w:type="pct"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  <w:tr w:rsidR="00E06BFA" w:rsidRPr="00BD6D80" w:rsidTr="00AE51BE">
        <w:tc>
          <w:tcPr>
            <w:tcW w:w="304" w:type="pct"/>
            <w:hideMark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353" w:type="pct"/>
            <w:hideMark/>
          </w:tcPr>
          <w:p w:rsidR="00E06BFA" w:rsidRPr="00BD6D80" w:rsidRDefault="00E06BFA" w:rsidP="00E06BF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Paszport techniczny </w:t>
            </w:r>
          </w:p>
        </w:tc>
        <w:tc>
          <w:tcPr>
            <w:tcW w:w="803" w:type="pct"/>
            <w:hideMark/>
          </w:tcPr>
          <w:p w:rsidR="00E06BFA" w:rsidRPr="00BD6D80" w:rsidRDefault="00E06BFA" w:rsidP="00E06BFA">
            <w:pPr>
              <w:jc w:val="center"/>
              <w:rPr>
                <w:rFonts w:asciiTheme="minorHAnsi" w:hAnsiTheme="minorHAnsi" w:cstheme="minorHAnsi"/>
              </w:rPr>
            </w:pPr>
            <w:r w:rsidRPr="00BD6D80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1539" w:type="pct"/>
          </w:tcPr>
          <w:p w:rsidR="00E06BFA" w:rsidRPr="00BD6D80" w:rsidRDefault="00E06BFA" w:rsidP="00E06BFA">
            <w:pPr>
              <w:rPr>
                <w:rFonts w:asciiTheme="minorHAnsi" w:hAnsiTheme="minorHAnsi" w:cstheme="minorHAnsi"/>
              </w:rPr>
            </w:pPr>
          </w:p>
        </w:tc>
      </w:tr>
    </w:tbl>
    <w:p w:rsidR="00A33D41" w:rsidRPr="00BD6D80" w:rsidRDefault="00A33D41" w:rsidP="00CC138F">
      <w:pPr>
        <w:rPr>
          <w:rFonts w:asciiTheme="minorHAnsi" w:hAnsiTheme="minorHAnsi" w:cstheme="minorHAnsi"/>
          <w:lang w:eastAsia="pl-PL"/>
        </w:rPr>
      </w:pPr>
    </w:p>
    <w:p w:rsidR="00CC138F" w:rsidRPr="00BD6D80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BD6D80">
        <w:rPr>
          <w:rFonts w:asciiTheme="minorHAnsi" w:hAnsiTheme="minorHAnsi" w:cstheme="minorHAnsi"/>
          <w:b/>
          <w:lang w:eastAsia="pl-PL"/>
        </w:rPr>
        <w:t xml:space="preserve">Uwaga: </w:t>
      </w:r>
      <w:r w:rsidRPr="00BD6D80">
        <w:rPr>
          <w:rFonts w:asciiTheme="minorHAnsi" w:hAnsiTheme="minorHAnsi" w:cstheme="minorHAnsi"/>
          <w:b/>
          <w:lang w:eastAsia="pl-PL"/>
        </w:rPr>
        <w:br/>
        <w:t>1. Parametry techniczne graniczne stanowią wymagania - nie spełnienie choćby jednego z w/w wymogów spowoduje odrzucenie oferty.</w:t>
      </w:r>
    </w:p>
    <w:p w:rsidR="00CC138F" w:rsidRPr="00BD6D80" w:rsidRDefault="00CC138F" w:rsidP="00CC138F">
      <w:pPr>
        <w:tabs>
          <w:tab w:val="left" w:pos="2400"/>
        </w:tabs>
        <w:rPr>
          <w:rFonts w:asciiTheme="minorHAnsi" w:hAnsiTheme="minorHAnsi" w:cstheme="minorHAnsi"/>
          <w:b/>
          <w:lang w:eastAsia="pl-PL"/>
        </w:rPr>
      </w:pPr>
      <w:r w:rsidRPr="00BD6D80">
        <w:rPr>
          <w:rFonts w:asciiTheme="minorHAnsi" w:hAnsiTheme="minorHAnsi" w:cstheme="minorHAnsi"/>
          <w:b/>
          <w:lang w:eastAsia="pl-PL"/>
        </w:rPr>
        <w:t>2. Zamawiający zastrzega sobie możliwość zażądania potwierdzenia wiarygodności przedstawionych przez Wykonawcę danych we wszystkich dostępnych ź</w:t>
      </w:r>
      <w:bookmarkStart w:id="1" w:name="_GoBack"/>
      <w:bookmarkEnd w:id="1"/>
      <w:r w:rsidRPr="00BD6D80">
        <w:rPr>
          <w:rFonts w:asciiTheme="minorHAnsi" w:hAnsiTheme="minorHAnsi" w:cstheme="minorHAnsi"/>
          <w:b/>
          <w:lang w:eastAsia="pl-PL"/>
        </w:rPr>
        <w:t>ródłach w tym u producenta.</w:t>
      </w:r>
    </w:p>
    <w:p w:rsidR="00CC138F" w:rsidRPr="00BD6D80" w:rsidRDefault="00CC138F" w:rsidP="00CC138F">
      <w:pPr>
        <w:jc w:val="right"/>
        <w:rPr>
          <w:rFonts w:asciiTheme="minorHAnsi" w:hAnsiTheme="minorHAnsi" w:cstheme="minorHAnsi"/>
          <w:lang w:eastAsia="pl-PL"/>
        </w:rPr>
      </w:pPr>
      <w:r w:rsidRPr="00BD6D80">
        <w:rPr>
          <w:rFonts w:asciiTheme="minorHAnsi" w:hAnsiTheme="minorHAnsi" w:cstheme="minorHAnsi"/>
          <w:lang w:eastAsia="pl-PL"/>
        </w:rPr>
        <w:t xml:space="preserve">.................................................................................... </w:t>
      </w:r>
    </w:p>
    <w:p w:rsidR="00CC138F" w:rsidRPr="00C42261" w:rsidRDefault="00CC138F" w:rsidP="00CC138F">
      <w:pPr>
        <w:jc w:val="right"/>
        <w:rPr>
          <w:rFonts w:ascii="Tahoma" w:hAnsi="Tahoma" w:cs="Tahoma"/>
          <w:sz w:val="20"/>
          <w:szCs w:val="20"/>
          <w:u w:val="single"/>
        </w:rPr>
      </w:pPr>
      <w:r w:rsidRPr="00C42261">
        <w:rPr>
          <w:rFonts w:ascii="Tahoma" w:hAnsi="Tahoma" w:cs="Tahoma"/>
          <w:sz w:val="20"/>
          <w:szCs w:val="20"/>
          <w:u w:val="single"/>
          <w:lang w:eastAsia="pl-PL"/>
        </w:rPr>
        <w:t xml:space="preserve"> data i podpis</w:t>
      </w:r>
    </w:p>
    <w:sectPr w:rsidR="00CC138F" w:rsidRPr="00C42261" w:rsidSect="00606A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FB5" w:rsidRDefault="001D2FB5" w:rsidP="0087150F">
      <w:pPr>
        <w:spacing w:after="0" w:line="240" w:lineRule="auto"/>
      </w:pPr>
      <w:r>
        <w:separator/>
      </w:r>
    </w:p>
  </w:endnote>
  <w:endnote w:type="continuationSeparator" w:id="0">
    <w:p w:rsidR="001D2FB5" w:rsidRDefault="001D2FB5" w:rsidP="0087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112" w:rsidRPr="00C42261" w:rsidRDefault="00131112" w:rsidP="00C42261">
    <w:pPr>
      <w:pStyle w:val="Stopka"/>
      <w:rPr>
        <w:color w:val="FFFFFF" w:themeColor="background1"/>
      </w:rPr>
    </w:pPr>
    <w:r w:rsidRPr="0057037A">
      <w:rPr>
        <w:color w:val="FFFFFF" w:themeColor="background1"/>
      </w:rPr>
      <w:t xml:space="preserve">Specyfikację przygotował Krzysztof Łęczewski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FB5" w:rsidRDefault="001D2FB5" w:rsidP="0087150F">
      <w:pPr>
        <w:spacing w:after="0" w:line="240" w:lineRule="auto"/>
      </w:pPr>
      <w:r>
        <w:separator/>
      </w:r>
    </w:p>
  </w:footnote>
  <w:footnote w:type="continuationSeparator" w:id="0">
    <w:p w:rsidR="001D2FB5" w:rsidRDefault="001D2FB5" w:rsidP="00871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EA7825"/>
    <w:multiLevelType w:val="multilevel"/>
    <w:tmpl w:val="E78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CCADC"/>
    <w:multiLevelType w:val="hybridMultilevel"/>
    <w:tmpl w:val="07D68E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3376BAD"/>
    <w:multiLevelType w:val="hybridMultilevel"/>
    <w:tmpl w:val="328EE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73097"/>
    <w:multiLevelType w:val="hybridMultilevel"/>
    <w:tmpl w:val="27262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40848"/>
    <w:multiLevelType w:val="multilevel"/>
    <w:tmpl w:val="A0CC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C7F"/>
    <w:multiLevelType w:val="multilevel"/>
    <w:tmpl w:val="3162F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4C"/>
    <w:rsid w:val="00012DCD"/>
    <w:rsid w:val="0003546D"/>
    <w:rsid w:val="000754BA"/>
    <w:rsid w:val="000849DC"/>
    <w:rsid w:val="000E0814"/>
    <w:rsid w:val="000E17D0"/>
    <w:rsid w:val="00131112"/>
    <w:rsid w:val="00134F12"/>
    <w:rsid w:val="001705AA"/>
    <w:rsid w:val="001940E4"/>
    <w:rsid w:val="001D2FB5"/>
    <w:rsid w:val="001D5427"/>
    <w:rsid w:val="001E2A02"/>
    <w:rsid w:val="001E5941"/>
    <w:rsid w:val="00204A16"/>
    <w:rsid w:val="00245BF9"/>
    <w:rsid w:val="002577E9"/>
    <w:rsid w:val="002669CE"/>
    <w:rsid w:val="002724C6"/>
    <w:rsid w:val="002808DE"/>
    <w:rsid w:val="002816C7"/>
    <w:rsid w:val="002908CB"/>
    <w:rsid w:val="00292CC6"/>
    <w:rsid w:val="00295A5B"/>
    <w:rsid w:val="002A1EB6"/>
    <w:rsid w:val="002A7485"/>
    <w:rsid w:val="00303567"/>
    <w:rsid w:val="003432E8"/>
    <w:rsid w:val="00357E70"/>
    <w:rsid w:val="00360A2B"/>
    <w:rsid w:val="00377EF0"/>
    <w:rsid w:val="0038209B"/>
    <w:rsid w:val="003A42C9"/>
    <w:rsid w:val="003B3741"/>
    <w:rsid w:val="003C483F"/>
    <w:rsid w:val="003C6FD8"/>
    <w:rsid w:val="003D578E"/>
    <w:rsid w:val="003E6C81"/>
    <w:rsid w:val="003F6C04"/>
    <w:rsid w:val="0042709B"/>
    <w:rsid w:val="004438F6"/>
    <w:rsid w:val="00452D42"/>
    <w:rsid w:val="004623F9"/>
    <w:rsid w:val="00472B0B"/>
    <w:rsid w:val="00475178"/>
    <w:rsid w:val="00484F14"/>
    <w:rsid w:val="00493FD1"/>
    <w:rsid w:val="004D7CAD"/>
    <w:rsid w:val="0053302D"/>
    <w:rsid w:val="0057037A"/>
    <w:rsid w:val="00575767"/>
    <w:rsid w:val="00580AD6"/>
    <w:rsid w:val="00582CDC"/>
    <w:rsid w:val="00593759"/>
    <w:rsid w:val="005955A4"/>
    <w:rsid w:val="005A2510"/>
    <w:rsid w:val="005A6B1A"/>
    <w:rsid w:val="005C1592"/>
    <w:rsid w:val="005C2C64"/>
    <w:rsid w:val="005E5162"/>
    <w:rsid w:val="005F48AE"/>
    <w:rsid w:val="00600BA0"/>
    <w:rsid w:val="00602420"/>
    <w:rsid w:val="00606AD5"/>
    <w:rsid w:val="0061083E"/>
    <w:rsid w:val="006266FB"/>
    <w:rsid w:val="00636E24"/>
    <w:rsid w:val="00686343"/>
    <w:rsid w:val="006930F9"/>
    <w:rsid w:val="0069648A"/>
    <w:rsid w:val="006A47C2"/>
    <w:rsid w:val="006A5E36"/>
    <w:rsid w:val="006C5D47"/>
    <w:rsid w:val="006E086D"/>
    <w:rsid w:val="006F168F"/>
    <w:rsid w:val="0072535E"/>
    <w:rsid w:val="007372E7"/>
    <w:rsid w:val="00763375"/>
    <w:rsid w:val="0077241E"/>
    <w:rsid w:val="00774FD0"/>
    <w:rsid w:val="007858E4"/>
    <w:rsid w:val="00797340"/>
    <w:rsid w:val="007A15EA"/>
    <w:rsid w:val="007D7241"/>
    <w:rsid w:val="007E4D3B"/>
    <w:rsid w:val="007E5347"/>
    <w:rsid w:val="007E731F"/>
    <w:rsid w:val="00814492"/>
    <w:rsid w:val="0081522D"/>
    <w:rsid w:val="00857BA0"/>
    <w:rsid w:val="00865B62"/>
    <w:rsid w:val="0087150F"/>
    <w:rsid w:val="0087385F"/>
    <w:rsid w:val="00877ED6"/>
    <w:rsid w:val="008825C0"/>
    <w:rsid w:val="008B7249"/>
    <w:rsid w:val="008B772B"/>
    <w:rsid w:val="008C67B4"/>
    <w:rsid w:val="008C7F5C"/>
    <w:rsid w:val="008F4227"/>
    <w:rsid w:val="0090348E"/>
    <w:rsid w:val="00903C0F"/>
    <w:rsid w:val="0091541A"/>
    <w:rsid w:val="009211BF"/>
    <w:rsid w:val="009218BA"/>
    <w:rsid w:val="00924790"/>
    <w:rsid w:val="009379DA"/>
    <w:rsid w:val="009450F4"/>
    <w:rsid w:val="00960E2D"/>
    <w:rsid w:val="00961907"/>
    <w:rsid w:val="00974647"/>
    <w:rsid w:val="00987029"/>
    <w:rsid w:val="009A31C0"/>
    <w:rsid w:val="009A5AC3"/>
    <w:rsid w:val="009B6DDC"/>
    <w:rsid w:val="009E573D"/>
    <w:rsid w:val="009F1E62"/>
    <w:rsid w:val="00A05999"/>
    <w:rsid w:val="00A10E16"/>
    <w:rsid w:val="00A33D41"/>
    <w:rsid w:val="00A5074F"/>
    <w:rsid w:val="00A57C3D"/>
    <w:rsid w:val="00A61540"/>
    <w:rsid w:val="00A65CCC"/>
    <w:rsid w:val="00A76B6F"/>
    <w:rsid w:val="00AD0015"/>
    <w:rsid w:val="00AD5148"/>
    <w:rsid w:val="00AE0129"/>
    <w:rsid w:val="00AE1FDA"/>
    <w:rsid w:val="00AE51BE"/>
    <w:rsid w:val="00B0321A"/>
    <w:rsid w:val="00B26F13"/>
    <w:rsid w:val="00B42A2A"/>
    <w:rsid w:val="00B44334"/>
    <w:rsid w:val="00B54727"/>
    <w:rsid w:val="00B64589"/>
    <w:rsid w:val="00B865AE"/>
    <w:rsid w:val="00B93BEC"/>
    <w:rsid w:val="00B9622B"/>
    <w:rsid w:val="00BA3F96"/>
    <w:rsid w:val="00BA7239"/>
    <w:rsid w:val="00BD6D80"/>
    <w:rsid w:val="00BE67ED"/>
    <w:rsid w:val="00BF2652"/>
    <w:rsid w:val="00BF7621"/>
    <w:rsid w:val="00C36835"/>
    <w:rsid w:val="00C42261"/>
    <w:rsid w:val="00C54BEF"/>
    <w:rsid w:val="00C6237F"/>
    <w:rsid w:val="00C869EA"/>
    <w:rsid w:val="00C95800"/>
    <w:rsid w:val="00CC138F"/>
    <w:rsid w:val="00CD4F88"/>
    <w:rsid w:val="00CE085F"/>
    <w:rsid w:val="00CE3863"/>
    <w:rsid w:val="00CF5973"/>
    <w:rsid w:val="00CF7148"/>
    <w:rsid w:val="00D00790"/>
    <w:rsid w:val="00D16026"/>
    <w:rsid w:val="00D26671"/>
    <w:rsid w:val="00D312E6"/>
    <w:rsid w:val="00DA0F8C"/>
    <w:rsid w:val="00DC5366"/>
    <w:rsid w:val="00DC69D1"/>
    <w:rsid w:val="00E06BFA"/>
    <w:rsid w:val="00E106DD"/>
    <w:rsid w:val="00E33E4F"/>
    <w:rsid w:val="00E4777A"/>
    <w:rsid w:val="00E54CFD"/>
    <w:rsid w:val="00E679AA"/>
    <w:rsid w:val="00E7004C"/>
    <w:rsid w:val="00E906C8"/>
    <w:rsid w:val="00EB6533"/>
    <w:rsid w:val="00EE6B6B"/>
    <w:rsid w:val="00F30305"/>
    <w:rsid w:val="00F33E24"/>
    <w:rsid w:val="00F50C51"/>
    <w:rsid w:val="00F81979"/>
    <w:rsid w:val="00F916B6"/>
    <w:rsid w:val="00F9617C"/>
    <w:rsid w:val="00F96955"/>
    <w:rsid w:val="00FA2C01"/>
    <w:rsid w:val="00FA3285"/>
    <w:rsid w:val="00FB0BD2"/>
    <w:rsid w:val="00FB1CFF"/>
    <w:rsid w:val="00FB48E9"/>
    <w:rsid w:val="00FC0C4B"/>
    <w:rsid w:val="00FC27E5"/>
    <w:rsid w:val="00FD095C"/>
    <w:rsid w:val="00FF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D255DD"/>
  <w15:docId w15:val="{5AAC7A12-9486-4AEA-9AE4-DAFA0A84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6AD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BA3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312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312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D312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295A5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3A188F"/>
    <w:rPr>
      <w:rFonts w:ascii="Times New Roman" w:hAnsi="Times New Roman"/>
      <w:sz w:val="0"/>
      <w:szCs w:val="0"/>
      <w:lang w:eastAsia="en-US"/>
    </w:rPr>
  </w:style>
  <w:style w:type="table" w:styleId="Tabela-Siatka">
    <w:name w:val="Table Grid"/>
    <w:basedOn w:val="Standardowy"/>
    <w:locked/>
    <w:rsid w:val="00774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622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B962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B0321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0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0AD6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B93BE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3F9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bpoz">
    <w:name w:val="tbpoz"/>
    <w:basedOn w:val="Normalny"/>
    <w:rsid w:val="00BA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0354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3546D"/>
    <w:rPr>
      <w:rFonts w:ascii="Times New Roman" w:eastAsia="Times New Roman" w:hAnsi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D312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D312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D312E6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Pa1">
    <w:name w:val="Pa1"/>
    <w:basedOn w:val="Default"/>
    <w:next w:val="Default"/>
    <w:uiPriority w:val="99"/>
    <w:rsid w:val="0038209B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character" w:customStyle="1" w:styleId="A4">
    <w:name w:val="A4"/>
    <w:uiPriority w:val="99"/>
    <w:rsid w:val="0038209B"/>
    <w:rPr>
      <w:rFonts w:cs="HelveticaNeueLT Std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35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8B7249"/>
    <w:pPr>
      <w:suppressAutoHyphens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eastAsia="ar-SA"/>
    </w:rPr>
  </w:style>
  <w:style w:type="numbering" w:customStyle="1" w:styleId="WWNum4">
    <w:name w:val="WWNum4"/>
    <w:basedOn w:val="Bezlisty"/>
    <w:rsid w:val="00961907"/>
    <w:pPr>
      <w:numPr>
        <w:numId w:val="5"/>
      </w:numPr>
    </w:pPr>
  </w:style>
  <w:style w:type="paragraph" w:styleId="Akapitzlist">
    <w:name w:val="List Paragraph"/>
    <w:basedOn w:val="Normalny"/>
    <w:uiPriority w:val="99"/>
    <w:qFormat/>
    <w:rsid w:val="007E731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qFormat/>
    <w:rsid w:val="0090348E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E594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rsid w:val="00EB6533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EB6533"/>
    <w:pPr>
      <w:widowControl w:val="0"/>
      <w:suppressAutoHyphens/>
      <w:spacing w:before="280" w:after="280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CC138F"/>
    <w:pPr>
      <w:widowControl w:val="0"/>
      <w:suppressAutoHyphens/>
      <w:spacing w:before="280" w:after="280" w:line="100" w:lineRule="atLeast"/>
    </w:pPr>
    <w:rPr>
      <w:rFonts w:ascii="Times New Roman" w:hAnsi="Times New Roman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rsid w:val="00CC138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C138F"/>
    <w:rPr>
      <w:sz w:val="20"/>
      <w:szCs w:val="20"/>
      <w:lang w:eastAsia="en-US"/>
    </w:rPr>
  </w:style>
  <w:style w:type="character" w:customStyle="1" w:styleId="TekstprzypisudolnegoZnak1">
    <w:name w:val="Tekst przypisu dolnego Znak1"/>
    <w:link w:val="Tekstprzypisudolnego"/>
    <w:rsid w:val="00CC138F"/>
    <w:rPr>
      <w:rFonts w:ascii="Times New Roman" w:eastAsia="Times New Roman" w:hAnsi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50F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7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50F"/>
    <w:rPr>
      <w:lang w:eastAsia="en-US"/>
    </w:rPr>
  </w:style>
  <w:style w:type="paragraph" w:customStyle="1" w:styleId="Normalny1">
    <w:name w:val="Normalny1"/>
    <w:rsid w:val="00F33E24"/>
    <w:pPr>
      <w:suppressAutoHyphens/>
      <w:spacing w:after="200" w:line="276" w:lineRule="auto"/>
    </w:pPr>
    <w:rPr>
      <w:lang w:eastAsia="en-US"/>
    </w:rPr>
  </w:style>
  <w:style w:type="character" w:customStyle="1" w:styleId="FontStyle90">
    <w:name w:val="Font Style90"/>
    <w:uiPriority w:val="99"/>
    <w:rsid w:val="00F33E24"/>
    <w:rPr>
      <w:rFonts w:ascii="Arial" w:hAnsi="Arial" w:cs="Arial" w:hint="default"/>
      <w:color w:val="000000"/>
      <w:sz w:val="14"/>
      <w:szCs w:val="14"/>
    </w:rPr>
  </w:style>
  <w:style w:type="paragraph" w:customStyle="1" w:styleId="ZnakZnak1">
    <w:name w:val="Znak Znak1"/>
    <w:basedOn w:val="Normalny"/>
    <w:rsid w:val="003C6FD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9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5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1716B-07BA-485B-A010-58FA8156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3169</Words>
  <Characters>21201</Characters>
  <Application>Microsoft Office Word</Application>
  <DocSecurity>0</DocSecurity>
  <Lines>176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Łęczewski</dc:creator>
  <cp:keywords/>
  <dc:description/>
  <cp:lastModifiedBy>Tomasz Miazek</cp:lastModifiedBy>
  <cp:revision>10</cp:revision>
  <cp:lastPrinted>2024-10-07T11:10:00Z</cp:lastPrinted>
  <dcterms:created xsi:type="dcterms:W3CDTF">2024-09-23T08:25:00Z</dcterms:created>
  <dcterms:modified xsi:type="dcterms:W3CDTF">2024-10-24T13:18:00Z</dcterms:modified>
</cp:coreProperties>
</file>